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и экономика фармации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00:15 МСК · База обновлена: 22.07.2026, 23:46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и экономика фармации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позднее вечернее время в аптечную организацию обратился пациент с просьбой отпуска таблеток Tabl.  Trimeperidini 25 mg № 20, предъявив рецепт формы № 107/у-НП, все реквизиты оформлены правильно. Фармацевтический работник попросил посетителя также предъявить рецептурный бланк формы № 148-1/у-04(л), объяснив, что данный лекарственный препарат отпускается бесплатно или на льготных условиях. Так как у посетителя такого бланка рецепта не оказалось, провизор отказал пациенту в отпуске данного лекарственного препарата за полную стоимость. Провизор, осуществляющий отпуск лекарственных препаратов, молодой специалист, самостоятельно работал первую неделю и опасался отпускать в вечерние часы наркотические лекарственные препараты. Пациент устроил скандал и сделал соответствующую запись в книге жалоб и предложений.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Срок действия данного рецепта составляет _____ дней со дня оформления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15</w:t>
      </w:r>
    </w:p>
    <w:p>
      <w:pPr>
        <w:ind w:left="504"/>
      </w:pPr>
      <w:r>
        <w:rPr>
          <w:b w:val="0"/>
          <w:i/>
        </w:rPr>
        <w:t>Согласно требованиям приказа Минздрава России от 24.11.2021 N 1094н</w:t>
        <w:br/>
        <w:t>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 Рецепты на бумажном носителе, в форме электронного документа, оформленные на рецептурном бланке формы № 107/у-НП и предназначенные для отпуска лекарственных препаратов, действительны в течение 15 дней со дня оформления.</w:t>
        <w:br/>
        <w:br/>
      </w:r>
      <w:hyperlink r:id="rId20">
        <w:r>
          <w:rPr>
            <w:color w:val="173C49"/>
            <w:u w:val="single"/>
          </w:rPr>
          <w:t>Приказ Министерства здравоохранения РФ от 24 ноября 2021 г. N 1094н 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поступлении данного рецепта в аптеку фармацевтический работник должен отпустить пациенту количество Tabl.  Trimeperidini 25 mg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курс лечения до 60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выписанное в рецепте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курс лечения до 1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предельно допустимое для выписывания на один рецепт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выписанное в рецепте</w:t>
      </w:r>
    </w:p>
    <w:p>
      <w:pPr>
        <w:ind w:left="504"/>
      </w:pPr>
      <w:r>
        <w:rPr>
          <w:b w:val="0"/>
          <w:i/>
        </w:rPr>
        <w:t>Согласно требованиям приказа Минздрава России от 24.11.2021 N 1094н</w:t>
        <w:br/>
        <w:t>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 на Tabl.  Trimeperidini 25 mg норма отпуска установлена 50 табл.</w:t>
        <w:br/>
        <w:br/>
      </w:r>
      <w:hyperlink r:id="rId20">
        <w:r>
          <w:rPr>
            <w:color w:val="173C49"/>
            <w:u w:val="single"/>
          </w:rPr>
          <w:t>Приказ Министерства здравоохранения РФ от 24 ноября 2021 г. N 1094н 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За нарушение порядка отпуска лекарственных препаратов из аптечных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предусмотрена конфискация предмета административного правонарушения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предусмотрено наложение административного штрафа на юридическое лицо и(или) должностное лицо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предусмотрена дисквалификация руководителя аптечной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предусмотрена уголовная ответственность руководителя аптечной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предусмотрено наложение административного штрафа на юридическое лицо и(или) должностное лицо</w:t>
      </w:r>
    </w:p>
    <w:p>
      <w:pPr>
        <w:ind w:left="504"/>
      </w:pPr>
      <w:r>
        <w:rPr>
          <w:b w:val="0"/>
          <w:i/>
        </w:rPr>
        <w:t>Согласно Кодексу Российской Федерации «Об административных правонарушениях» от 30.12.2001 № 195-ФЗ осуществление предпринимательской деятельности с грубым нарушением требований и условий, предусмотренных специальным разрешением (лицензией), влечет наложение административного штрафа на лиц, осуществляющих предпринимательскую деятельность без образования юридического лица, в размере от четырех тысяч до восьми тысяч рублей или административное приостановление деятельности на срок до девяноста суток; на должностных лиц - от пяти тысяч до десяти тысяч рублей; на юридических лиц - от ста тысяч до двухсот тысяч рублей или административное приостановление деятельности на срок до девяноста суток.</w:t>
        <w:br/>
        <w:br/>
        <w:t>В соответствии с пунктом  постановления Правительства РФ от 31.03.2022 № 547 «О лицензировании фармацевтической деятельности», для лицензиатов, осуществляющих фармацевтическую деятельность с грубым нарушением лицензионных требований влечет за собой ответственность, установленную законодательством Российской Федерации. При этом под грубым нарушением понимается невыполнение лицензиатом одного из требований, предусмотренных пунктом 6 настоящего Положения, повлекшее последствия, установленные частью 10 статьи 19 2 Федерального закона "О лицензировании отдельных видов деятельности"</w:t>
        <w:br/>
        <w:br/>
      </w:r>
      <w:hyperlink r:id="rId24">
        <w:r>
          <w:rPr>
            <w:color w:val="173C49"/>
            <w:u w:val="single"/>
          </w:rPr>
          <w:t>Кодекс Российской Федерации об административных правонарушениях от 30.12.2001 N 195-ФЗ (ред. от 22.04.2024)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ПОСТАНОВЛЕНИЕ ПРАВИТЕЛЬСТВА РОССИЙСКОЙ ФЕДЕРАЦИИ от 31 марта 2022 г. N 547 ОБ УТВЕРЖДЕНИИ ПОЛОЖЕНИЯ О ЛИЦЕНЗИРОВАНИИ ФАРМАЦЕВТИЧЕСКОЙ ДЕЯТЕЛЬНОСТИ (06.11.24)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позиции вовлеченности сторон посетитель спровоцировал +_________+ конфликт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внутригрупповой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внутриличностный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межгрупповой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межличностный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межличностный</w:t>
      </w:r>
    </w:p>
    <w:p>
      <w:pPr>
        <w:ind w:left="504"/>
      </w:pPr>
      <w:r>
        <w:rPr>
          <w:b w:val="0"/>
          <w:i/>
        </w:rPr>
        <w:t>В практике менеджмента выделяют четыре основных типа конфликтов в зависимости от вовлеченных сторон: внутриличностный, межличностный, между личностью и группой, межгрупповой. В основе межличностных конфликтов лежат отличия между людьми, обусловленные характером, взглядами, ценностями, личными целями.</w:t>
        <w:br/>
        <w:br/>
        <w:t>Управление и экономика фармации: учебник / под ред. И.А. Наркевича. – М.: ГЭОТАР-Медиа, 2017. – С.746.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межличностным методам разрешения конфликтов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доминирование, уклонение, социальное руководство, поощрение, компромисс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командообразование, уклонение, приспособление, сотрудничество, компромисс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доминирование, уклонение, приспособление, сотрудничество, компромисс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доминирование, демократичность, приспособление, сотрудничество, участие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доминирование, уклонение, приспособление, сотрудничество, компромисс</w:t>
      </w:r>
    </w:p>
    <w:p>
      <w:pPr>
        <w:ind w:left="504"/>
      </w:pPr>
      <w:r>
        <w:rPr>
          <w:b w:val="0"/>
          <w:i/>
        </w:rPr>
        <w:t>К межличностным методам разрешения конфликтов относятся доминирование, уклонение, приспособление, сотрудничество и компромисс.</w:t>
        <w:br/>
        <w:br/>
        <w:t>* Доминирование как метод разрешения конфликта — стратегия открытой борьбы за свои интересы, навязывания другой стороне собственной точки зрения, выгодного для себя решения в ущерб позиции оппонента.</w:t>
        <w:br/>
        <w:br/>
        <w:t>* Сотрудничество — стратегия, направленная на поиск решения, приемлемого для всех. Это самый трудный стиль поведения, но именно он позволяет выработать наиболее эффективное решение в сложных конфликтных ситуациях.</w:t>
        <w:br/>
        <w:br/>
        <w:t>* Компромисс — стратегия урегулирования разногласий через взаимные уступки. При этом проблема глубоко не осмысляется, а находится лишь временный подходящий вариант предупреждения или разрешения конфликта.</w:t>
        <w:br/>
        <w:br/>
        <w:t>* Уклонение в решетке менеджмента конфликтов характеризует стремление одной из сторон выйти из ситуации конфликта, не решая ее, не уступая своего, но и не настаивая на своей позиции, в отличие от стратегии приспособления, которая основана на сглаживании противоречий за счет собственных интересов.</w:t>
        <w:br/>
        <w:br/>
        <w:t>Управление и экономика фармации: учебник / под ред. И.А. Наркевича. – М.: ГЭОТАР-Медиа, 2017. – С. 747-748.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Trimeperidinum относится к списку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сильнодействующих веществ для целей статьи 234 Уголовного Кодекса Российской Федерации, предусматривающей материальную ответственность руководителей аптечных организаций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прекурсоров, оборот которых в Российской Федерации ограничен (Список IV) и установлены особые меры контроля и ответственности материально-ответственных лиц в аптечных организациях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психотропных веществ, оборот которых в Российской Федерации ограничен (Список III) и введены особые меры контроля и ответственности материально-ответственных лиц в аптечных организациях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II).</w:t>
      </w:r>
    </w:p>
    <w:p>
      <w:pPr>
        <w:ind w:left="504"/>
      </w:pPr>
      <w:r>
        <w:rPr>
          <w:b w:val="0"/>
          <w:i/>
        </w:rPr>
        <w:t>Постановлением Правительства Российской Федерации от 30.06.1998 № 681«Об утверждении перечня наркотических средств, психотропных веществ и их прекурсоров, подлежащих контролю в Российской Федерации» утвержден Список 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II).</w:t>
        <w:br/>
        <w:br/>
      </w:r>
      <w:hyperlink r:id="rId31">
        <w:r>
          <w:rPr>
            <w:color w:val="173C49"/>
            <w:u w:val="single"/>
          </w:rPr>
          <w:t>ПОСТАНОВЛЕНИЕ ОТ 30 ИЮНЯ 1998 ГОДА N 681 "ОБ УТВЕРЖДЕНИИ ПЕРЕЧНЯ НАРКОТИЧЕСКИХ СРЕДСТВ. ПСИХОТРОПНЫХ ВЕЩЕСТВ И ИХ ПРЕКУРСОРОВ. ПОДЛЕЖАЩИХ КОНТРОЛЮ В РОССИЙСКОЙ ФЕДЕРАЦИИ" (ред. от 17.03.2024 г.)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Рецепт, выписанный на бланке формы № 107/у-НП, в аптечной организации хранят в течение _____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десяти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пяти</w:t>
      </w:r>
    </w:p>
    <w:p>
      <w:pPr>
        <w:ind w:left="504"/>
      </w:pPr>
      <w:r>
        <w:rPr>
          <w:b w:val="0"/>
          <w:i/>
        </w:rPr>
        <w:t>Приказом Минздрава России от 07.03.2025 N 100н 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вещества, Порядка отпуска гражданам аптечными организациями иммунобиологических лекарственных препаратов для иммунопрофилактики" установлены сроки хранения рецептурных бланков, по которым отпущены лекарственные препараты.</w:t>
        <w:br/>
        <w:br/>
        <w:t>Остаются и хранятся у субъекта розничной торговли рецепты (с отметкой «Лекарственный препарат отпущен») на:</w:t>
        <w:br/>
        <w:br/>
        <w:t>* наркотические и психотропные лекарственные препараты списка II, психотропные лекарственные препараты списка III - в течение пяти лет.</w:t>
        <w:br/>
        <w:br/>
      </w:r>
      <w:hyperlink r:id="rId33">
        <w:r>
          <w:rPr>
            <w:color w:val="173C49"/>
            <w:u w:val="single"/>
          </w:rPr>
          <w:t>Приказ Минздрава России от 07.03.2025 N 100Н 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вещества, Порядка отпуска гражданам аптечными организациями иммунобиологических лекарственных препаратов для иммунопрофилактики"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Tabl.Trimeperidini 25 mg подлежат хранению в аптечной организации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металлическом шкафу в ассистентской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деревянном шкафу в материальной комнате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материальной комнате на стеллажах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изолированном укрепленном помещении, оборудованном запирающимися сейфом или металлическими шкафами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изолированном укрепленном помещении, оборудованном запирающимися сейфом или металлическими шкафами</w:t>
      </w:r>
    </w:p>
    <w:p>
      <w:pPr>
        <w:ind w:left="504"/>
      </w:pPr>
      <w:r>
        <w:rPr>
          <w:b w:val="0"/>
          <w:i/>
        </w:rPr>
        <w:t>Согласно Постановлению Правительства РФ от 30 апреля 2022 г. N 809 "О хранении наркотических средств, психотропных веществ и их прекурсоров"</w:t>
        <w:br/>
        <w:br/>
        <w:t>Хранение наркотических и психотропных лекарственных препаратов осуществляется: в аптечных организациях - в помещениях 2-й категории и местах временного хранения. В помещениях, отнесенных ко 2-й категории, наркотические и психотропные лекарственные препараты хранятся в запирающихся сейфах или металлических шкафах. Для помещений 2-й категории установлены обязательные требования к оснащению инженерно-техническими средствами охраны (требования к оснащению ограждающими конструкциями, элементами инженерно-технической укрепленности и к минимально необходимому составу технических средств охраны).</w:t>
        <w:br/>
        <w:br/>
        <w:t>Приказ Росгвардии N 335, МВД России N 677  от 15 сентября 2021 года «Об утверждении требований к оснащению инженерно-техническими средствами охраны объектов и помещений, в которых осуществляются деятельность, связанная с оборотом наркотических средств, психотропных веществ и внесенных в список I перечня наркотических средств, психотропных веществ и их прекурсоров, подлежащих контролю в РФ, прекурсоров, и (или) культивирование наркосодержащих растений для использования в научных, учебных целях и в экспертной деятельности, для производства используемых в медицинских целях и (или) в ветеринарии наркотических средств и психотропных веществ.</w:t>
        <w:br/>
        <w:br/>
      </w:r>
      <w:hyperlink r:id="rId35">
        <w:r>
          <w:rPr>
            <w:color w:val="173C49"/>
            <w:u w:val="single"/>
          </w:rPr>
          <w:t>Постановление Правительства РФ от 30 апреля 2022 г. N 809 "О хранении наркотических средств, психотропных веществ и их прекурсоров"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Аптечные организации, имеющие соответствующие лицензии, осуществляют закупку наркотических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аптечном складе (в оптовой фармацевтической организации) непосредственно заведующим аптечной организацией или уполномоченным на получение наркотических средств лицом по отдельной доверенности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фармацевтическом отделе Минздрава субъекта РФ по распоряжению только заведующим аптечной организацией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 региональной оптовой фармацевтической организации ответственным провизором-специалистом по отдельной накладной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 производителя наркотических средств только заведующим аптечной организацией по предварительной заявке и разовой доверенности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аптечном складе (в оптовой фармацевтической организации) непосредственно заведующим аптечной организацией или уполномоченным на получение наркотических средств лицом по отдельной доверенности</w:t>
      </w:r>
    </w:p>
    <w:p>
      <w:pPr>
        <w:ind w:left="504"/>
      </w:pPr>
      <w:r>
        <w:rPr>
          <w:b w:val="0"/>
          <w:i/>
        </w:rPr>
        <w:t>Согласно приказу Минздрава России от 01.12.2016 № 917н «Об утверждении нормативов для расчета потребности в наркотических и психотропных лекарственных средствах, предназначенных для медицинского применения» с целью обеспечения наркотическими средствами населения города (округа) определяют потребность в конкретных лекарственных средствах по нормативам. Данные нормативы установлены путем пересчета всех лекарственных форм на чистое действующее вещество. Аптечные организации, имеющие соответствующие лицензии, осуществляют закупку наркотических средств и психотропных веществ на аптечных складах (у оптовых фармацевтических организаций). Заказы выписываются на отдельных бланках требований на латинском языке в 2-х экземплярах, которые подписаны руководителем и скреплены печатью. Отпуск наркотических средств осуществляется непосредственно заведующей аптечной организацией или уполномоченное на получение наркотических средств лицо по отдельной доверенности. В доверенности указывается наименование наркотического средства и количество (прописью).</w:t>
        <w:br/>
        <w:br/>
        <w:t>Управление и экономика фармации: учебник/ под ред. И.А. Наркевича. – М.: ГЭОТАР – Медиа, 2017. – С. 384.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Провизор, осуществляющий отпуск лекарственных препаратов, обязан предоставить по требованию больного достоверную информацию о стоимости Tabl.  Trimeperidini 25 mg № 20 таблеток даже в случае неправильно выписанного врачом рецепта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постановления Правительства РФ от 30.06.1998 № 681 «Об утверждении перечня наркотических средств, психотропных веществ и их прекурсоров, подлежащих контролю в РФ»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постановления Правительства РФ от 31.03.2022 № 547 «О лицензировании фармацевтической деятельности»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приказа МЗ РФ от 29.04.2025 N 259н «Об утверждении правил надлежащей аптечной практики лекарственных препаратов для медицинского применения»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приказа Минздрава России от 24.11.2021 N 1094н</w:t>
        <w:br/>
        <w:t>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приказа МЗ РФ от 29.04.2025 N 259н «Об утверждении правил надлежащей аптечной практики лекарственных препаратов для медицинского применения»</w:t>
      </w:r>
    </w:p>
    <w:p>
      <w:pPr>
        <w:ind w:left="504"/>
      </w:pPr>
      <w:r>
        <w:rPr>
          <w:b w:val="0"/>
          <w:i/>
        </w:rPr>
        <w:t>В соответствии с требованиями приказа МЗ РФ от 29.04.2025 N 259н «Об утверждении правил надлежащей аптечной практики лекарственных препаратов для медицинского применения», п. 15 к основной функции фармацевтических работников отнесено, в том числе, предоставление достоверной информации о лекарственных препаратах, их стоимости.</w:t>
        <w:br/>
        <w:br/>
      </w:r>
      <w:hyperlink r:id="rId39">
        <w:r>
          <w:rPr>
            <w:color w:val="173C49"/>
            <w:u w:val="single"/>
          </w:rPr>
          <w:t>Приказ Минздрава России от 29 апреля 2025 года № 259н Об утверждении Правил надлежащей аптечной практики лекарственных препаратов для медицинского применения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Книжный остаток составил +___+ упаковок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</w:t>
      </w:r>
    </w:p>
    <w:p>
      <w:pPr>
        <w:ind w:left="504"/>
      </w:pPr>
      <w:r>
        <w:rPr>
          <w:b w:val="0"/>
          <w:i/>
        </w:rPr>
        <w:t>Результат инвентаризации определяется исходя из сопоставления фактического и книжного остатков О2. Книжный остаток рассчитываем по формуле О2кн= О1{plus}П-Р. Соответственно, О2кн=8 уп., что совпадает с фактическим остатком на конец месяца.</w:t>
        <w:br/>
        <w:br/>
        <w:t>Управление и экономика фармации: учебник / под ред. И.А. Наркевича. – М.: ГЭОТАР-Медиа, 2017. – С.504.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Аптечная организация проводит оценку затрат и вклад Tabl.  Trimeperidini 25 mg № 20 и ряда других препаратов в общий объем затрат путем ранжирования ассортиментных позиций по убыванию и последующего расчета накопительного итога за текущий год на основании +_____+ анализа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АВС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XYZ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VEN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DDD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АВС</w:t>
      </w:r>
    </w:p>
    <w:p>
      <w:pPr>
        <w:ind w:left="504"/>
      </w:pPr>
      <w:r>
        <w:rPr>
          <w:b w:val="0"/>
          <w:i/>
        </w:rPr>
        <w:t>Оценка затрат осуществляется с помощью АВС-анализа, при котором определяется доля каждого препарата в общем объеме затрат, осуществляется их ранжирование по убыванию, и путем расчета накопительного итога выявляются препараты, расходы на которые составляют 80% затрат (группа А), 15% (группа В) и 5% (группа С). При этом в группу А входит, как правило, не более 20% ассортимента. АВС-анализ должен проводиться регулярно, как правило, не реже 1 раза в год. АВС-анализ может использоваться при анализе потребления по торговым наименованиям, по Международным непатентованным наименованиям, по фармакотерапевтическим группам, внутри выбранной фармакотерапевтической группы и любым другим необходимым параметрам.</w:t>
        <w:br/>
        <w:br/>
        <w:t>Управление и экономика фармации: учебник / под ред. И.А. Наркевича. – М.: ГЭОТАР-Медиа, 2017. – С.347.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и экономика фармации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1094/" TargetMode="External"/><Relationship Id="rId21" Type="http://schemas.openxmlformats.org/officeDocument/2006/relationships/hyperlink" Target="https://library.mededtech.ru/rest/documents/prikazN1094/#paragraph_2evfg3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1094/#&#1050;&#1086;&#1083;&#1080;&#1095;&#1077;&#1089;&#1090;&#1074;&#1086;_&#1085;&#1072;&#1088;&#1082;&#1086;&#1090;&#1080;&#1095;&#1077;&#1089;&#1082;&#1080;&#1093;_&#1089;&#1088;&#1077;&#1076;&#1089;&#1090;&#1074;_&#1080;&#1083;&#1080;_&#1087;&#1089;&#1080;&#1093;&#1086;&#1090;&#1088;&#1086;&#1087;&#1085;&#1099;&#1093;_&#1074;&#1077;&#1097;&#1077;&#1089;&#1090;&#1074;_&#1082;&#1086;&#1090;&#1086;&#1088;&#1086;&#1077;_&#1084;&#1086;&#1078;&#1077;&#1090;_&#1073;&#1099;&#1090;&#1100;_&#1074;&#1099;&#1087;&#1080;&#1089;&#1072;&#1085;&#1086;_&#1074;_&#1086;&#1076;&#1085;&#1086;&#1084;_&#1088;&#1077;&#1094;&#1077;&#1087;&#1090;&#1077;" TargetMode="External"/><Relationship Id="rId24" Type="http://schemas.openxmlformats.org/officeDocument/2006/relationships/hyperlink" Target="https://library.mededtech.ru/rest/documents/fzN195_220424/" TargetMode="External"/><Relationship Id="rId25" Type="http://schemas.openxmlformats.org/officeDocument/2006/relationships/hyperlink" Target="https://library.mededtech.ru/rest/documents/fzN195_220424/index.html#list_item_m1d329" TargetMode="External"/><Relationship Id="rId26" Type="http://schemas.openxmlformats.org/officeDocument/2006/relationships/hyperlink" Target="https://library.mededtech.ru/rest/documents/postN547_061124/" TargetMode="External"/><Relationship Id="rId27" Type="http://schemas.openxmlformats.org/officeDocument/2006/relationships/hyperlink" Target="https://library.mededtech.ru/rest/documents/postN547_061124/#list_item_bqctg3" TargetMode="External"/><Relationship Id="rId28" Type="http://schemas.openxmlformats.org/officeDocument/2006/relationships/hyperlink" Target="https://library.mededtech.ru/rest/documents/ISBN9785970442265/?anchor=paragraph_lfr8j3#paragraph_lfr8j3" TargetMode="External"/><Relationship Id="rId29" Type="http://schemas.openxmlformats.org/officeDocument/2006/relationships/image" Target="media/image6.png"/><Relationship Id="rId30" Type="http://schemas.openxmlformats.org/officeDocument/2006/relationships/hyperlink" Target="https://library.mededtech.ru/rest/documents/ISBN9785970442265/?anchor=paragraph_obrcob#paragraph_obrcob" TargetMode="External"/><Relationship Id="rId31" Type="http://schemas.openxmlformats.org/officeDocument/2006/relationships/hyperlink" Target="https://library.mededtech.ru/rest/documents/post681_070224/" TargetMode="External"/><Relationship Id="rId32" Type="http://schemas.openxmlformats.org/officeDocument/2006/relationships/hyperlink" Target="https://library.mededtech.ru/rest/documents/post681_070224/#&#1057;&#1087;&#1080;&#1089;&#1086;&#1082;_&#1085;&#1072;&#1088;&#1082;&#1086;&#1090;&#1080;&#1095;&#1077;&#1089;&#1082;&#1080;&#1093;_&#1089;&#1088;&#1077;&#1076;&#1089;&#1090;&#1074;_&#1080;_&#1087;&#1089;&#1080;&#1093;&#1086;&#1090;&#1088;&#1086;&#1087;&#1085;&#1099;&#1093;_&#1074;&#1077;&#1097;&#1077;&#1089;&#1090;&#1074;_&#1086;&#1073;&#1086;&#1088;&#1086;&#1090;_&#1082;&#1086;&#1090;&#1086;&#1088;&#1099;&#1093;_&#1074;_&#1056;&#1086;&#1089;&#1089;&#1080;&#1081;&#1089;&#1082;&#1086;&#1081;_&#1060;&#1077;&#1076;&#1077;&#1088;&#1072;&#1094;&#1080;&#1080;_&#1086;&#1075;&#1088;&#1072;&#1085;&#1080;&#1095;&#1077;&#1085;_&#1080;_&#1074;_&#1086;&#1090;&#1085;&#1086;&#1096;&#1077;&#1085;&#1080;&#1080;_&#1082;&#1086;&#1090;&#1086;&#1088;&#1099;&#1093;_&#1091;&#1089;&#1090;&#1072;&#1085;&#1072;&#1074;&#1083;&#1080;&#1074;&#1072;&#1102;&#1090;&#1089;&#1103;_&#1084;&#1077;&#1088;&#1099;_&#1082;&#1086;&#1085;&#1090;&#1088;&#1086;&#1083;&#1103;_&#1074;_&#1089;&#1086;&#1086;&#1090;&#1074;&#1077;&#1090;&#1089;&#1090;&#1074;&#1080;&#1080;_&#1089;_&#1079;&#1072;&#1082;&#1086;&#1085;&#1086;&#1076;&#1072;&#1090;&#1077;&#1083;&#1100;&#1089;&#1090;&#1074;&#1086;&#1084;_&#1056;&#1086;&#1089;&#1089;&#1080;&#1081;&#1089;&#1082;&#1086;&#1081;_&#1060;&#1077;&#1076;&#1077;&#1088;&#1072;&#1094;&#1080;&#1080;_&#1080;_&#1084;&#1077;&#1078;&#1076;&#1091;&#1085;&#1072;&#1088;&#1086;&#1076;&#1085;&#1099;&#1084;&#1080;_&#1076;&#1086;&#1075;&#1086;&#1074;&#1086;&#1088;&#1072;&#1084;&#1080;_&#1056;&#1086;&#1089;&#1089;&#1080;&#1081;&#1089;&#1082;&#1086;&#1081;_&#1060;&#1077;&#1076;&#1077;&#1088;&#1072;&#1094;&#1080;&#1080;_&#1089;&#1087;&#1080;&#1089;&#1086;&#1082;_ii" TargetMode="External"/><Relationship Id="rId33" Type="http://schemas.openxmlformats.org/officeDocument/2006/relationships/hyperlink" Target="https://library.mededtech.ru/rest/documents/prikazN100n_070325/" TargetMode="External"/><Relationship Id="rId34" Type="http://schemas.openxmlformats.org/officeDocument/2006/relationships/hyperlink" Target="https://library.mededtech.ru/rest/documents/prikazN100n_070325/#paragraph_7oqqmj" TargetMode="External"/><Relationship Id="rId35" Type="http://schemas.openxmlformats.org/officeDocument/2006/relationships/hyperlink" Target="https://library.mededtech.ru/rest/documents/postanovN809/" TargetMode="External"/><Relationship Id="rId36" Type="http://schemas.openxmlformats.org/officeDocument/2006/relationships/hyperlink" Target="https://library.mededtech.ru/rest/documents/postanovN809/#list_item_04gnob" TargetMode="External"/><Relationship Id="rId37" Type="http://schemas.openxmlformats.org/officeDocument/2006/relationships/image" Target="media/image7.png"/><Relationship Id="rId38" Type="http://schemas.openxmlformats.org/officeDocument/2006/relationships/hyperlink" Target="https://library.mededtech.ru/rest/documents/ISBN9785970442265/?anchor=paragraph_ut4nl3#paragraph_ut4nl3" TargetMode="External"/><Relationship Id="rId39" Type="http://schemas.openxmlformats.org/officeDocument/2006/relationships/hyperlink" Target="https://library.mededtech.ru/rest/documents/prikaz259_25/" TargetMode="External"/><Relationship Id="rId40" Type="http://schemas.openxmlformats.org/officeDocument/2006/relationships/hyperlink" Target="https://library.mededtech.ru/rest/documents/prikaz259_25/#paragraph_qe1g2i" TargetMode="External"/><Relationship Id="rId41" Type="http://schemas.openxmlformats.org/officeDocument/2006/relationships/hyperlink" Target="https://library.mededtech.ru/rest/documents/ISBN9785970442265/?anchor=list_item_cpib1r#list_item_cpib1r" TargetMode="External"/><Relationship Id="rId42" Type="http://schemas.openxmlformats.org/officeDocument/2006/relationships/hyperlink" Target="https://library.mededtech.ru/rest/documents/ISBN9785970442265/?anchor=paragraph_k4gfit#paragraph_k4gf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